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5D" w:rsidRPr="00C5662E" w:rsidRDefault="00546545" w:rsidP="00C5662E">
      <w:pPr>
        <w:jc w:val="center"/>
        <w:rPr>
          <w:b/>
          <w:u w:val="single"/>
          <w:lang w:val="ka-GE"/>
        </w:rPr>
      </w:pPr>
      <w:r w:rsidRPr="00C5662E">
        <w:rPr>
          <w:b/>
          <w:u w:val="single"/>
          <w:lang w:val="ka-GE"/>
        </w:rPr>
        <w:t>ტყვიის შემცველობის ბიომონიტორინგი</w:t>
      </w:r>
      <w:r w:rsidR="00F471A8" w:rsidRPr="00C5662E">
        <w:rPr>
          <w:b/>
          <w:u w:val="single"/>
          <w:lang w:val="ka-GE"/>
        </w:rPr>
        <w:t>ს კომპონენტი</w:t>
      </w:r>
    </w:p>
    <w:p w:rsidR="00F471A8" w:rsidRDefault="00F471A8">
      <w:pPr>
        <w:rPr>
          <w:lang w:val="ka-GE"/>
        </w:rPr>
      </w:pPr>
    </w:p>
    <w:p w:rsidR="00F471A8" w:rsidRPr="00C5662E" w:rsidRDefault="00F471A8" w:rsidP="00C5662E">
      <w:pPr>
        <w:pStyle w:val="ListParagraph"/>
        <w:numPr>
          <w:ilvl w:val="0"/>
          <w:numId w:val="4"/>
        </w:numPr>
        <w:rPr>
          <w:b/>
          <w:lang w:val="ka-GE"/>
        </w:rPr>
      </w:pPr>
      <w:r w:rsidRPr="00C5662E">
        <w:rPr>
          <w:b/>
          <w:lang w:val="ka-GE"/>
        </w:rPr>
        <w:t>კომპონენტის მოსარგებლეები არიან</w:t>
      </w:r>
    </w:p>
    <w:p w:rsidR="00F471A8" w:rsidRPr="00F471A8" w:rsidRDefault="00F471A8" w:rsidP="00F471A8">
      <w:pPr>
        <w:pStyle w:val="ListParagraph"/>
        <w:numPr>
          <w:ilvl w:val="0"/>
          <w:numId w:val="2"/>
        </w:numPr>
        <w:rPr>
          <w:lang w:val="ka-GE"/>
        </w:rPr>
      </w:pPr>
      <w:r w:rsidRPr="00F471A8">
        <w:t>MICS</w:t>
      </w:r>
      <w:r w:rsidRPr="00F471A8">
        <w:rPr>
          <w:lang w:val="ka-GE"/>
        </w:rPr>
        <w:t xml:space="preserve"> კვლევაში მონაწილე 2-7 წლამდე ასაკის ბავშვები (რომელთა სისხლში ტყვიის შემცველობა 5 მკგ/დლ-ზე მაღალია)</w:t>
      </w:r>
    </w:p>
    <w:p w:rsidR="00F471A8" w:rsidRPr="00F471A8" w:rsidRDefault="00F471A8" w:rsidP="00F471A8">
      <w:pPr>
        <w:pStyle w:val="ListParagraph"/>
        <w:numPr>
          <w:ilvl w:val="0"/>
          <w:numId w:val="2"/>
        </w:numPr>
        <w:rPr>
          <w:lang w:val="ka-GE"/>
        </w:rPr>
      </w:pPr>
      <w:r w:rsidRPr="00F471A8">
        <w:rPr>
          <w:lang w:val="ka-GE"/>
        </w:rPr>
        <w:t>მათი ოჯახის წევრი 18 წლამდე ასაკის ბავშვები</w:t>
      </w:r>
      <w:r w:rsidRPr="00F471A8">
        <w:rPr>
          <w:lang w:val="ka-GE"/>
        </w:rPr>
        <w:t>.</w:t>
      </w:r>
    </w:p>
    <w:p w:rsidR="00546545" w:rsidRDefault="00546545">
      <w:pPr>
        <w:rPr>
          <w:lang w:val="ka-GE"/>
        </w:rPr>
      </w:pPr>
    </w:p>
    <w:p w:rsidR="00546545" w:rsidRPr="00C5662E" w:rsidRDefault="00F471A8" w:rsidP="00C5662E">
      <w:pPr>
        <w:pStyle w:val="ListParagraph"/>
        <w:numPr>
          <w:ilvl w:val="0"/>
          <w:numId w:val="4"/>
        </w:numPr>
        <w:rPr>
          <w:b/>
          <w:lang w:val="ka-GE"/>
        </w:rPr>
      </w:pPr>
      <w:r w:rsidRPr="00C5662E">
        <w:rPr>
          <w:b/>
          <w:lang w:val="ka-GE"/>
        </w:rPr>
        <w:t>კომპონენტის</w:t>
      </w:r>
      <w:r w:rsidR="00554D4B" w:rsidRPr="00C5662E">
        <w:rPr>
          <w:b/>
          <w:lang w:val="ka-GE"/>
        </w:rPr>
        <w:t xml:space="preserve"> ფარგლებში გათვალისწინებული სერვისები</w:t>
      </w:r>
    </w:p>
    <w:p w:rsidR="00554D4B" w:rsidRDefault="00554D4B">
      <w:pPr>
        <w:rPr>
          <w:lang w:val="ka-GE"/>
        </w:rPr>
      </w:pPr>
    </w:p>
    <w:p w:rsidR="00554D4B" w:rsidRPr="00C55E51" w:rsidRDefault="00C55E51" w:rsidP="00C55E51">
      <w:pPr>
        <w:ind w:left="720" w:hanging="360"/>
        <w:rPr>
          <w:lang w:val="ka-GE"/>
        </w:rPr>
      </w:pPr>
      <w:r>
        <w:rPr>
          <w:b/>
          <w:lang w:val="ka-GE"/>
        </w:rPr>
        <w:t xml:space="preserve">ა) </w:t>
      </w:r>
      <w:r>
        <w:rPr>
          <w:b/>
          <w:lang w:val="ka-GE"/>
        </w:rPr>
        <w:tab/>
      </w:r>
      <w:r w:rsidR="00F471A8" w:rsidRPr="00C55E51">
        <w:rPr>
          <w:b/>
          <w:lang w:val="ka-GE"/>
        </w:rPr>
        <w:t>სისხლში ტყვიის შემცველობის დონის განსაზღვრა</w:t>
      </w:r>
      <w:r w:rsidR="00F471A8" w:rsidRPr="00C55E51">
        <w:rPr>
          <w:lang w:val="ka-GE"/>
        </w:rPr>
        <w:t xml:space="preserve"> (დანართის სახით დავამატეთ კვლევების ჯერადობა)</w:t>
      </w:r>
    </w:p>
    <w:p w:rsidR="00F471A8" w:rsidRDefault="00F471A8" w:rsidP="00F471A8">
      <w:pPr>
        <w:pStyle w:val="ListParagraph"/>
        <w:rPr>
          <w:b/>
          <w:lang w:val="ka-GE"/>
        </w:rPr>
      </w:pPr>
    </w:p>
    <w:p w:rsidR="00F471A8" w:rsidRDefault="00F471A8" w:rsidP="00F471A8">
      <w:pPr>
        <w:pStyle w:val="ListParagraph"/>
        <w:jc w:val="both"/>
        <w:rPr>
          <w:lang w:val="ka-GE"/>
        </w:rPr>
      </w:pPr>
      <w:r w:rsidRPr="00A16069">
        <w:rPr>
          <w:b/>
          <w:u w:val="single"/>
          <w:lang w:val="ka-GE"/>
        </w:rPr>
        <w:t xml:space="preserve">შენიშვნა: </w:t>
      </w:r>
      <w:r>
        <w:rPr>
          <w:lang w:val="ka-GE"/>
        </w:rPr>
        <w:t xml:space="preserve">ამ ეტაპისთვის არ გვაქვს საბოლოო რეკომენდაცია </w:t>
      </w:r>
      <w:r>
        <w:rPr>
          <w:lang w:val="ka-GE"/>
        </w:rPr>
        <w:t xml:space="preserve">ჩასატარებელი კვლევების </w:t>
      </w:r>
      <w:r>
        <w:rPr>
          <w:lang w:val="ka-GE"/>
        </w:rPr>
        <w:t xml:space="preserve">ჯერადობის </w:t>
      </w:r>
      <w:r>
        <w:rPr>
          <w:lang w:val="ka-GE"/>
        </w:rPr>
        <w:t>შესახებ</w:t>
      </w:r>
      <w:r>
        <w:rPr>
          <w:lang w:val="ka-GE"/>
        </w:rPr>
        <w:t xml:space="preserve"> ექსპერტების მხრიდან. თუმცა, საბიუჯეტო ასიგნებების გათვალისწინებით, მიზანშეწონილად მიგვაჩნია ტყვიაზე ტესტირების ჯერადობა (მ.შ. პირველადი დიაგნოსტიკა და განმეორებითი კვლევები) განისაზღვროს შემდეგი სახით</w:t>
      </w:r>
      <w:r w:rsidR="00A16069">
        <w:rPr>
          <w:lang w:val="ka-GE"/>
        </w:rPr>
        <w:t xml:space="preserve"> (იხ. ქვემოთ ცხრილი)</w:t>
      </w:r>
      <w:r>
        <w:rPr>
          <w:lang w:val="ka-GE"/>
        </w:rPr>
        <w:t>:</w:t>
      </w:r>
    </w:p>
    <w:p w:rsidR="00F471A8" w:rsidRDefault="00F471A8" w:rsidP="00F471A8">
      <w:pPr>
        <w:pStyle w:val="ListParagraph"/>
        <w:rPr>
          <w:lang w:val="ka-GE"/>
        </w:rPr>
      </w:pPr>
    </w:p>
    <w:p w:rsidR="00F471A8" w:rsidRDefault="00F471A8" w:rsidP="00A16069">
      <w:pPr>
        <w:pStyle w:val="ListParagraph"/>
        <w:numPr>
          <w:ilvl w:val="0"/>
          <w:numId w:val="3"/>
        </w:numPr>
        <w:rPr>
          <w:lang w:val="ka-GE"/>
        </w:rPr>
      </w:pPr>
      <w:r w:rsidRPr="00F471A8">
        <w:rPr>
          <w:lang w:val="ka-GE"/>
        </w:rPr>
        <w:t>5-9 მკგ/დლ</w:t>
      </w:r>
      <w:r w:rsidR="00A16069">
        <w:rPr>
          <w:lang w:val="ka-GE"/>
        </w:rPr>
        <w:t xml:space="preserve"> შემთხვევაში - 4 თვეში ერთხელ (წელიწადში 3 კვლევა)</w:t>
      </w:r>
    </w:p>
    <w:p w:rsidR="00A16069" w:rsidRDefault="00A16069" w:rsidP="00A16069">
      <w:pPr>
        <w:pStyle w:val="ListParagraph"/>
        <w:numPr>
          <w:ilvl w:val="0"/>
          <w:numId w:val="3"/>
        </w:numPr>
        <w:rPr>
          <w:lang w:val="ka-GE"/>
        </w:rPr>
      </w:pPr>
      <w:r w:rsidRPr="00A16069">
        <w:rPr>
          <w:lang w:val="ka-GE"/>
        </w:rPr>
        <w:t>10-34 მკგ/დლ</w:t>
      </w:r>
      <w:r>
        <w:rPr>
          <w:lang w:val="ka-GE"/>
        </w:rPr>
        <w:t xml:space="preserve"> შემთხვევაში - 3 თვეში ერთხელ (წელიწადში 4 კვლევა)</w:t>
      </w:r>
    </w:p>
    <w:p w:rsidR="00A16069" w:rsidRDefault="00A16069" w:rsidP="00A16069">
      <w:pPr>
        <w:pStyle w:val="ListParagraph"/>
        <w:numPr>
          <w:ilvl w:val="0"/>
          <w:numId w:val="3"/>
        </w:numPr>
        <w:rPr>
          <w:lang w:val="ka-GE"/>
        </w:rPr>
      </w:pPr>
      <w:r w:rsidRPr="00A16069">
        <w:rPr>
          <w:lang w:val="ka-GE"/>
        </w:rPr>
        <w:t>35-59 მკგ/დლ</w:t>
      </w:r>
      <w:r>
        <w:rPr>
          <w:lang w:val="ka-GE"/>
        </w:rPr>
        <w:t xml:space="preserve"> შემთხვევაში - 2 თვეში ერთხელ (წელიწადში 6 კვლევა)</w:t>
      </w:r>
    </w:p>
    <w:p w:rsidR="00A16069" w:rsidRDefault="00A16069" w:rsidP="00F471A8">
      <w:pPr>
        <w:pStyle w:val="ListParagraph"/>
        <w:rPr>
          <w:lang w:val="ka-GE"/>
        </w:rPr>
      </w:pPr>
    </w:p>
    <w:p w:rsidR="00A16069" w:rsidRDefault="00A16069" w:rsidP="00F471A8">
      <w:pPr>
        <w:pStyle w:val="ListParagraph"/>
        <w:rPr>
          <w:lang w:val="ka-GE"/>
        </w:rPr>
      </w:pPr>
    </w:p>
    <w:p w:rsidR="00A16069" w:rsidRPr="00A16069" w:rsidRDefault="00A16069" w:rsidP="00A16069">
      <w:pPr>
        <w:jc w:val="both"/>
        <w:rPr>
          <w:b/>
          <w:lang w:val="ka-GE"/>
        </w:rPr>
      </w:pPr>
      <w:r w:rsidRPr="00A16069">
        <w:rPr>
          <w:b/>
          <w:lang w:val="ka-GE"/>
        </w:rPr>
        <w:t>MICS კვლევაში მონაწილე 2-7 წლამდე ასაკის ბავშვები და მათი ოჯახის წევრი 18 წლამდე ასაკის ბავშვებისათვის სისხლში ტყვიის განსაზღვრისათვის საჭირო ტესტირების ჯერადობა</w:t>
      </w:r>
    </w:p>
    <w:p w:rsidR="00A16069" w:rsidRDefault="00A16069" w:rsidP="00A16069">
      <w:pPr>
        <w:jc w:val="both"/>
        <w:rPr>
          <w:lang w:val="ka-GE"/>
        </w:rPr>
      </w:pP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276"/>
        <w:gridCol w:w="1418"/>
        <w:gridCol w:w="1417"/>
      </w:tblGrid>
      <w:tr w:rsidR="00A16069" w:rsidRPr="00AD4B4A" w:rsidTr="00C7280C">
        <w:trPr>
          <w:trHeight w:val="9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069" w:rsidRPr="00AD4B4A" w:rsidRDefault="00A16069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MICS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კვლევაში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მონაწილე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2-7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წლამდე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ასაკის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ბავშვები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MICS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კვლევაში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მონაწილე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ბავშვების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ოჯახის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წევრი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წლამდე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ასაკის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ბავშვები</w:t>
            </w:r>
            <w:proofErr w:type="spellEnd"/>
          </w:p>
        </w:tc>
      </w:tr>
      <w:tr w:rsidR="00A16069" w:rsidRPr="00AD4B4A" w:rsidTr="00C7280C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069" w:rsidRPr="00AD4B4A" w:rsidRDefault="00A16069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ტყვიის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დონის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განსაზღვრისათვის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პირველადი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ტესტირების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1</w:t>
            </w:r>
          </w:p>
        </w:tc>
      </w:tr>
      <w:tr w:rsidR="00A16069" w:rsidRPr="00AD4B4A" w:rsidTr="00C7280C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069" w:rsidRPr="00AD4B4A" w:rsidRDefault="00A16069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ტყვიის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დონე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სისხლში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5-9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10-34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35-59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5-9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10-34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 xml:space="preserve">35-59 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AD4B4A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AD4B4A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</w:tr>
      <w:tr w:rsidR="00A16069" w:rsidRPr="00AD4B4A" w:rsidTr="00C7280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069" w:rsidRPr="00AD4B4A" w:rsidRDefault="00A16069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ტყვიის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დონის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განსაზღვრის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შემდეგ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განმეორებითი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ტესტირების</w:t>
            </w:r>
            <w:proofErr w:type="spellEnd"/>
            <w:r w:rsidRPr="00AD4B4A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4B4A">
              <w:rPr>
                <w:rFonts w:eastAsia="Times New Roman" w:cs="Sylfaen"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CF17B5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CF17B5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AD4B4A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D4B4A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CF17B5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69" w:rsidRPr="00CF17B5" w:rsidRDefault="00A16069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5</w:t>
            </w:r>
          </w:p>
        </w:tc>
      </w:tr>
    </w:tbl>
    <w:p w:rsidR="00A16069" w:rsidRDefault="00A16069" w:rsidP="00F471A8">
      <w:pPr>
        <w:pStyle w:val="ListParagraph"/>
        <w:rPr>
          <w:lang w:val="ka-GE"/>
        </w:rPr>
      </w:pPr>
    </w:p>
    <w:p w:rsidR="00A16069" w:rsidRPr="00C55E51" w:rsidRDefault="00C55E51" w:rsidP="00C55E51">
      <w:pPr>
        <w:ind w:left="720" w:hanging="720"/>
        <w:rPr>
          <w:lang w:val="ka-GE"/>
        </w:rPr>
      </w:pPr>
      <w:r>
        <w:rPr>
          <w:b/>
          <w:lang w:val="ka-GE"/>
        </w:rPr>
        <w:lastRenderedPageBreak/>
        <w:t>ბ)</w:t>
      </w:r>
      <w:r>
        <w:rPr>
          <w:b/>
          <w:lang w:val="ka-GE"/>
        </w:rPr>
        <w:tab/>
      </w:r>
      <w:r w:rsidR="00A16069" w:rsidRPr="00C55E51">
        <w:rPr>
          <w:b/>
          <w:lang w:val="ka-GE"/>
        </w:rPr>
        <w:t>კომპონენტის მეორე აქტივობად განისაზღვრა დამატებითი დიაგნოსტიკა,</w:t>
      </w:r>
      <w:r w:rsidR="00A16069" w:rsidRPr="00C55E51">
        <w:rPr>
          <w:lang w:val="ka-GE"/>
        </w:rPr>
        <w:t xml:space="preserve"> რომელიც მოიცავს პედიატრის კონსულტაციას და დიაგნოსტიკური კვლევების ჩატარებას დანართის შესაბამისად.</w:t>
      </w:r>
    </w:p>
    <w:p w:rsidR="00A16069" w:rsidRDefault="00A16069" w:rsidP="00A16069">
      <w:pPr>
        <w:pStyle w:val="ListParagraph"/>
        <w:rPr>
          <w:lang w:val="ka-GE"/>
        </w:rPr>
      </w:pPr>
    </w:p>
    <w:p w:rsidR="00A16069" w:rsidRDefault="00A16069" w:rsidP="00A16069">
      <w:pPr>
        <w:pStyle w:val="ListParagraph"/>
        <w:jc w:val="both"/>
        <w:rPr>
          <w:lang w:val="ka-GE"/>
        </w:rPr>
      </w:pPr>
      <w:r w:rsidRPr="00A16069">
        <w:rPr>
          <w:b/>
          <w:u w:val="single"/>
          <w:lang w:val="ka-GE"/>
        </w:rPr>
        <w:t>შენიშვნა:</w:t>
      </w:r>
      <w:r w:rsidRPr="00A16069">
        <w:rPr>
          <w:u w:val="single"/>
          <w:lang w:val="ka-GE"/>
        </w:rPr>
        <w:t xml:space="preserve"> </w:t>
      </w:r>
      <w:r>
        <w:rPr>
          <w:lang w:val="ka-GE"/>
        </w:rPr>
        <w:t xml:space="preserve">წარმოდგენილი პროექტით აღნიშნული აქტივობა </w:t>
      </w:r>
      <w:r w:rsidR="00C5662E">
        <w:rPr>
          <w:lang w:val="ka-GE"/>
        </w:rPr>
        <w:t>მოიაზრებოდა</w:t>
      </w:r>
      <w:r>
        <w:rPr>
          <w:lang w:val="ka-GE"/>
        </w:rPr>
        <w:t xml:space="preserve"> საყოველთაო ჯანდაცვის პროგრამის ფარგლებში. თუმცა, უნდა აღინიშნოს, რომ საყოველთაო ჯანდაცვის ფარგლებში ყველა კვლევა </w:t>
      </w:r>
      <w:r w:rsidR="00C5662E">
        <w:rPr>
          <w:lang w:val="ka-GE"/>
        </w:rPr>
        <w:t>(</w:t>
      </w:r>
      <w:r>
        <w:rPr>
          <w:lang w:val="ka-GE"/>
        </w:rPr>
        <w:t>ტყვიის პროტოკოლი</w:t>
      </w:r>
      <w:r w:rsidR="00C5662E">
        <w:rPr>
          <w:lang w:val="ka-GE"/>
        </w:rPr>
        <w:t>ს შესაბამისად</w:t>
      </w:r>
      <w:r>
        <w:rPr>
          <w:lang w:val="ka-GE"/>
        </w:rPr>
        <w:t>) გათვალისწინებული არ არის. ამასთან პირველადი ჯანდაცვის დაფინანსების მექანიზმი ეფუძნება კაპიტაციურ დაფინანსებას და ცალკე აღებული 1358 ბავშვისთვის კაპიტაციის ერთეულს ვერ შევცვლით. ცალკე დანართის სახით შეტანაც არ მიგვაჩნია მიზანშეწონილად, რადგან პროექტ</w:t>
      </w:r>
      <w:r w:rsidR="00C5662E">
        <w:rPr>
          <w:lang w:val="ka-GE"/>
        </w:rPr>
        <w:t>ი პილოტურია</w:t>
      </w:r>
      <w:r>
        <w:rPr>
          <w:lang w:val="ka-GE"/>
        </w:rPr>
        <w:t xml:space="preserve"> და გარკვეული რაოდენობის პაციენტზეა გათვლილი, რასაც საყოველთაოთი მექნიკურად ვერ შევზღუდავთ. საყოველთაოს ფარგლებში დაფინანსების სქემის ჩართვის შესაძლებლობა მიზანშეწონილია განხილულ იქნას პროგრამის გაფართოვების შემთხვევაში</w:t>
      </w:r>
      <w:r w:rsidR="00C5662E">
        <w:rPr>
          <w:lang w:val="ka-GE"/>
        </w:rPr>
        <w:t>.</w:t>
      </w:r>
    </w:p>
    <w:p w:rsidR="00C5662E" w:rsidRDefault="00C5662E" w:rsidP="00A16069">
      <w:pPr>
        <w:pStyle w:val="ListParagraph"/>
        <w:jc w:val="both"/>
        <w:rPr>
          <w:lang w:val="ka-GE"/>
        </w:rPr>
      </w:pPr>
    </w:p>
    <w:p w:rsidR="00C5662E" w:rsidRDefault="00C5662E" w:rsidP="00A16069">
      <w:pPr>
        <w:pStyle w:val="ListParagraph"/>
        <w:jc w:val="both"/>
        <w:rPr>
          <w:lang w:val="ka-GE"/>
        </w:rPr>
      </w:pPr>
      <w:r>
        <w:rPr>
          <w:lang w:val="ka-GE"/>
        </w:rPr>
        <w:t>კვლევების ჯერადობასთან დაკავშირებითაც სავარაუდოდ მიზანშეწონილია მსჯელობა. ჩვენ მიერ წარმოდგენილი პროექტით ჯერადობა შემცირებულია (თუმცა საბოლოო სიტყვა მაინც ექსპერტებმა უნდა თქვან ამ ნაწილში)</w:t>
      </w:r>
    </w:p>
    <w:p w:rsidR="00A16069" w:rsidRDefault="00A16069" w:rsidP="00C5662E">
      <w:pPr>
        <w:pStyle w:val="ListParagraph"/>
        <w:rPr>
          <w:lang w:val="ka-GE"/>
        </w:rPr>
      </w:pPr>
    </w:p>
    <w:p w:rsidR="00C5662E" w:rsidRPr="00C5662E" w:rsidRDefault="00C5662E" w:rsidP="00C5662E">
      <w:pPr>
        <w:jc w:val="both"/>
        <w:rPr>
          <w:b/>
          <w:lang w:val="ka-GE"/>
        </w:rPr>
      </w:pPr>
      <w:r w:rsidRPr="00C5662E">
        <w:rPr>
          <w:b/>
          <w:lang w:val="ka-GE"/>
        </w:rPr>
        <w:t>MICS კვლევაში მონაწილე 2-7 წლამდე ასაკის ბავშვები და მათი ოჯახის წევრი 18 წლამდე ასაკის ბავშვებისათვის დამატებითი დიაგნოსტიკა და კვლევების ჯერადობა</w:t>
      </w:r>
    </w:p>
    <w:p w:rsidR="00C5662E" w:rsidRDefault="00C5662E" w:rsidP="00C5662E">
      <w:pPr>
        <w:jc w:val="both"/>
        <w:rPr>
          <w:lang w:val="ka-GE"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2440"/>
        <w:gridCol w:w="1392"/>
        <w:gridCol w:w="1654"/>
        <w:gridCol w:w="1654"/>
      </w:tblGrid>
      <w:tr w:rsidR="00C5662E" w:rsidRPr="00CF17B5" w:rsidTr="00C7280C">
        <w:trPr>
          <w:trHeight w:val="855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</w:rPr>
              <w:t>დასახელება</w:t>
            </w:r>
            <w:proofErr w:type="spellEnd"/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MICS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კვლევაში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მონაწილე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2-7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წლამდე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ასაკის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ბავშვები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მათი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ოჯახის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წევრი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წლამდე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ასაკის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ბავშვები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რომელთა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სისხლში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ტყვიის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დონე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>:</w:t>
            </w:r>
          </w:p>
        </w:tc>
      </w:tr>
      <w:tr w:rsidR="00C5662E" w:rsidRPr="00CF17B5" w:rsidTr="00C7280C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 xml:space="preserve">5-9 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 xml:space="preserve">10-34 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 xml:space="preserve">35-59 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მკგ</w:t>
            </w:r>
            <w:proofErr w:type="spellEnd"/>
            <w:r w:rsidRPr="00CF17B5">
              <w:rPr>
                <w:rFonts w:eastAsia="Times New Roman" w:cs="Calibri"/>
                <w:color w:val="000000"/>
                <w:sz w:val="18"/>
                <w:szCs w:val="18"/>
              </w:rPr>
              <w:t>/</w:t>
            </w:r>
            <w:proofErr w:type="spellStart"/>
            <w:r w:rsidRPr="00CF17B5">
              <w:rPr>
                <w:rFonts w:eastAsia="Times New Roman" w:cs="Sylfaen"/>
                <w:color w:val="000000"/>
                <w:sz w:val="18"/>
                <w:szCs w:val="18"/>
              </w:rPr>
              <w:t>დლ</w:t>
            </w:r>
            <w:proofErr w:type="spellEnd"/>
          </w:p>
        </w:tc>
      </w:tr>
      <w:tr w:rsidR="00C5662E" w:rsidRPr="00CF17B5" w:rsidTr="00C7280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ექიმთან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ვიზიტი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FE1160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FE1160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FE1160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3</w:t>
            </w:r>
          </w:p>
        </w:tc>
      </w:tr>
      <w:tr w:rsidR="00C5662E" w:rsidRPr="00CF17B5" w:rsidTr="00C7280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სისხლის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საერთო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ანალიზი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5662E" w:rsidRPr="00CF17B5" w:rsidTr="00C7280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ფერიტინი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5662E" w:rsidRPr="00CF17B5" w:rsidTr="00C7280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>C</w:t>
            </w:r>
            <w:r w:rsidRPr="00CF17B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>რეაქტიული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>ცილა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5662E" w:rsidRPr="00CF17B5" w:rsidTr="00C7280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რკინის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დონე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სისხლში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4</w:t>
            </w:r>
          </w:p>
        </w:tc>
      </w:tr>
      <w:tr w:rsidR="00C5662E" w:rsidRPr="00CF17B5" w:rsidTr="00C7280C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ჰემოგლობინი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ჰემატოკრიტი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4</w:t>
            </w:r>
          </w:p>
        </w:tc>
      </w:tr>
      <w:tr w:rsidR="00C5662E" w:rsidRPr="00CF17B5" w:rsidTr="00C7280C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შარდში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ჰემატინის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4</w:t>
            </w:r>
          </w:p>
        </w:tc>
      </w:tr>
      <w:tr w:rsidR="00C5662E" w:rsidRPr="00CF17B5" w:rsidTr="00C7280C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მუცლის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ღრუს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17B5">
              <w:rPr>
                <w:rFonts w:eastAsia="Times New Roman" w:cs="Sylfaen"/>
                <w:color w:val="000000"/>
                <w:sz w:val="16"/>
                <w:szCs w:val="16"/>
              </w:rPr>
              <w:t>რენტგენოგრაფია</w:t>
            </w:r>
            <w:proofErr w:type="spellEnd"/>
            <w:r w:rsidRPr="00CF17B5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62E" w:rsidRPr="00CF17B5" w:rsidRDefault="00C5662E" w:rsidP="00C72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F17B5">
              <w:rPr>
                <w:rFonts w:eastAsia="Times New Roman" w:cs="Calibri"/>
                <w:color w:val="000000"/>
              </w:rPr>
              <w:t>2</w:t>
            </w:r>
          </w:p>
        </w:tc>
      </w:tr>
    </w:tbl>
    <w:p w:rsidR="00C5662E" w:rsidRPr="00AD4B4A" w:rsidRDefault="00C5662E" w:rsidP="00C5662E">
      <w:pPr>
        <w:jc w:val="both"/>
        <w:rPr>
          <w:lang w:val="ka-GE"/>
        </w:rPr>
      </w:pPr>
    </w:p>
    <w:p w:rsidR="00C5662E" w:rsidRDefault="00C5662E" w:rsidP="00C5662E">
      <w:pPr>
        <w:pStyle w:val="ListParagraph"/>
        <w:rPr>
          <w:lang w:val="ka-GE"/>
        </w:rPr>
      </w:pPr>
    </w:p>
    <w:p w:rsidR="00C5662E" w:rsidRDefault="00C5662E" w:rsidP="00C5662E">
      <w:pPr>
        <w:pStyle w:val="ListParagraph"/>
        <w:rPr>
          <w:lang w:val="ka-GE"/>
        </w:rPr>
      </w:pPr>
    </w:p>
    <w:p w:rsidR="00C5662E" w:rsidRDefault="00C5662E" w:rsidP="00C5662E">
      <w:pPr>
        <w:pStyle w:val="ListParagraph"/>
        <w:rPr>
          <w:lang w:val="ka-GE"/>
        </w:rPr>
      </w:pPr>
    </w:p>
    <w:p w:rsidR="00C5662E" w:rsidRDefault="00C5662E" w:rsidP="00C5662E">
      <w:pPr>
        <w:pStyle w:val="ListParagraph"/>
        <w:rPr>
          <w:lang w:val="ka-GE"/>
        </w:rPr>
      </w:pPr>
    </w:p>
    <w:p w:rsidR="00C5662E" w:rsidRDefault="00C5662E" w:rsidP="00C5662E">
      <w:pPr>
        <w:pStyle w:val="ListParagraph"/>
        <w:rPr>
          <w:lang w:val="ka-GE"/>
        </w:rPr>
      </w:pPr>
    </w:p>
    <w:p w:rsidR="00C5662E" w:rsidRPr="00C55E51" w:rsidRDefault="00C55E51" w:rsidP="00C55E51">
      <w:pPr>
        <w:ind w:firstLine="720"/>
        <w:rPr>
          <w:b/>
          <w:lang w:val="ka-GE"/>
        </w:rPr>
      </w:pPr>
      <w:r>
        <w:rPr>
          <w:b/>
          <w:lang w:val="ka-GE"/>
        </w:rPr>
        <w:t xml:space="preserve">გ) </w:t>
      </w:r>
      <w:r>
        <w:rPr>
          <w:b/>
          <w:lang w:val="ka-GE"/>
        </w:rPr>
        <w:tab/>
      </w:r>
      <w:r w:rsidR="00C5662E" w:rsidRPr="00C55E51">
        <w:rPr>
          <w:b/>
          <w:lang w:val="ka-GE"/>
        </w:rPr>
        <w:t>მედიკამენტებით უზრუნველყოფა</w:t>
      </w:r>
    </w:p>
    <w:p w:rsidR="00C5662E" w:rsidRDefault="00C5662E" w:rsidP="00C55E51">
      <w:pPr>
        <w:ind w:left="360" w:firstLine="360"/>
        <w:jc w:val="both"/>
        <w:rPr>
          <w:lang w:val="ka-GE"/>
        </w:rPr>
      </w:pPr>
      <w:r w:rsidRPr="00C5662E">
        <w:rPr>
          <w:lang w:val="ka-GE"/>
        </w:rPr>
        <w:t xml:space="preserve">მე-2 პუნქტში მოყვანილი მოსაზრებების გათვალისწინებით, მიზანშეწონილად მიგვაჩნია ამ მიზნობრივი (მცირე) ჯგუფისთვის მედიკამენტების შესყიდვა განხორციელდეს ამავე პროგრამის ფარგლებში. ამასთან, უპრიანია თუ მედიკამენტების გაცემას განახორციელებს დამატებითი დიაგნოსტიკის მიმწოდებელი </w:t>
      </w:r>
      <w:r>
        <w:rPr>
          <w:lang w:val="ka-GE"/>
        </w:rPr>
        <w:t xml:space="preserve">სამედიცინო </w:t>
      </w:r>
      <w:r w:rsidRPr="00C5662E">
        <w:rPr>
          <w:lang w:val="ka-GE"/>
        </w:rPr>
        <w:t>დაწესებულება (ექიმის დანიშნულების შესაბამისად)</w:t>
      </w:r>
      <w:r>
        <w:rPr>
          <w:lang w:val="ka-GE"/>
        </w:rPr>
        <w:t>, ხოლო თავად ამ დაწესებულების მომარაგება განხორციელდება ცენტრალიზებულად ხარჯვის მაჩვენებლების გათვალისწინებით.</w:t>
      </w:r>
    </w:p>
    <w:p w:rsidR="00C5662E" w:rsidRDefault="00C5662E" w:rsidP="00C5662E">
      <w:pPr>
        <w:jc w:val="both"/>
        <w:rPr>
          <w:lang w:val="ka-GE"/>
        </w:rPr>
      </w:pPr>
    </w:p>
    <w:p w:rsidR="00C5662E" w:rsidRPr="00C55E51" w:rsidRDefault="00C55E51" w:rsidP="00C55E51">
      <w:pPr>
        <w:ind w:firstLine="720"/>
        <w:jc w:val="both"/>
        <w:rPr>
          <w:b/>
          <w:lang w:val="ka-GE"/>
        </w:rPr>
      </w:pPr>
      <w:r>
        <w:rPr>
          <w:b/>
          <w:lang w:val="ka-GE"/>
        </w:rPr>
        <w:t>დ)</w:t>
      </w:r>
      <w:r>
        <w:rPr>
          <w:b/>
          <w:lang w:val="ka-GE"/>
        </w:rPr>
        <w:tab/>
      </w:r>
      <w:r w:rsidR="00C5662E" w:rsidRPr="00C55E51">
        <w:rPr>
          <w:b/>
          <w:lang w:val="ka-GE"/>
        </w:rPr>
        <w:t>სპეციალისტების გადამზადება</w:t>
      </w:r>
    </w:p>
    <w:p w:rsidR="00C5662E" w:rsidRPr="00C5662E" w:rsidRDefault="00C55E51" w:rsidP="00C566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>
        <w:rPr>
          <w:lang w:val="ka-GE"/>
        </w:rPr>
        <w:tab/>
      </w:r>
      <w:r w:rsidR="00C5662E" w:rsidRPr="00C5662E">
        <w:rPr>
          <w:lang w:val="ka-GE"/>
        </w:rPr>
        <w:t xml:space="preserve">კომპონენტის მეოთხე აქტივობად განისაზღვრა  </w:t>
      </w:r>
      <w:r w:rsidR="00C5662E" w:rsidRPr="00C5662E">
        <w:rPr>
          <w:rFonts w:cs="Sylfaen"/>
          <w:lang w:val="ka-GE"/>
        </w:rPr>
        <w:t xml:space="preserve">ოჯახის ექიმების, პედიატრებისა და საზოგადოებრივი ჯანდაცვის სამსახურების სპეციალისტების </w:t>
      </w:r>
      <w:r w:rsidR="00C5662E" w:rsidRPr="00C5662E">
        <w:rPr>
          <w:rFonts w:cs="Sylfaen"/>
          <w:lang w:val="ka-GE"/>
        </w:rPr>
        <w:t xml:space="preserve">შესაბამისი </w:t>
      </w:r>
      <w:r w:rsidR="00C5662E" w:rsidRPr="00C5662E">
        <w:rPr>
          <w:rFonts w:cs="Sylfaen"/>
          <w:lang w:val="ka-GE"/>
        </w:rPr>
        <w:t xml:space="preserve">გუნდების გადამზადება ტყვიის </w:t>
      </w:r>
      <w:proofErr w:type="spellStart"/>
      <w:r w:rsidR="00C5662E" w:rsidRPr="00C5662E">
        <w:rPr>
          <w:rFonts w:cs="Sylfaen"/>
        </w:rPr>
        <w:t>ტოქსიური</w:t>
      </w:r>
      <w:proofErr w:type="spellEnd"/>
      <w:r w:rsidR="00C5662E" w:rsidRPr="00C5662E">
        <w:rPr>
          <w:rFonts w:cs="Sylfaen"/>
        </w:rPr>
        <w:t xml:space="preserve"> </w:t>
      </w:r>
      <w:proofErr w:type="spellStart"/>
      <w:r w:rsidR="00C5662E" w:rsidRPr="00C5662E">
        <w:rPr>
          <w:rFonts w:cs="Sylfaen"/>
        </w:rPr>
        <w:t>ზემოქმედების</w:t>
      </w:r>
      <w:proofErr w:type="spellEnd"/>
      <w:r w:rsidR="00C5662E" w:rsidRPr="00C5662E">
        <w:rPr>
          <w:rFonts w:cs="Sylfaen"/>
        </w:rPr>
        <w:t xml:space="preserve"> </w:t>
      </w:r>
      <w:r w:rsidR="00C5662E" w:rsidRPr="00C5662E">
        <w:rPr>
          <w:rFonts w:cs="Sylfaen"/>
          <w:lang w:val="ka-GE"/>
        </w:rPr>
        <w:t>ადრეული გამოვლენისა და მართვის საკითხებში</w:t>
      </w:r>
      <w:r w:rsidR="00C5662E" w:rsidRPr="00C5662E">
        <w:rPr>
          <w:rFonts w:cs="Sylfaen"/>
          <w:lang w:val="ka-GE"/>
        </w:rPr>
        <w:t>.</w:t>
      </w:r>
    </w:p>
    <w:p w:rsidR="00C5662E" w:rsidRDefault="00C5662E" w:rsidP="00C5662E">
      <w:pPr>
        <w:jc w:val="both"/>
        <w:rPr>
          <w:b/>
          <w:lang w:val="ka-GE"/>
        </w:rPr>
      </w:pPr>
    </w:p>
    <w:p w:rsidR="00C55E51" w:rsidRDefault="00C55E51" w:rsidP="00C5662E">
      <w:pPr>
        <w:jc w:val="both"/>
        <w:rPr>
          <w:b/>
          <w:lang w:val="ka-GE"/>
        </w:rPr>
      </w:pPr>
    </w:p>
    <w:p w:rsidR="00C55E51" w:rsidRDefault="00C55E51" w:rsidP="00C55E51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>
        <w:rPr>
          <w:b/>
          <w:lang w:val="ka-GE"/>
        </w:rPr>
        <w:t>პროგრამის ბიუჯეტი</w:t>
      </w:r>
    </w:p>
    <w:p w:rsidR="00C55E51" w:rsidRPr="00E03C6A" w:rsidRDefault="00C55E51" w:rsidP="00C55E51">
      <w:pPr>
        <w:jc w:val="both"/>
        <w:rPr>
          <w:lang w:val="ka-GE"/>
        </w:rPr>
      </w:pPr>
      <w:r w:rsidRPr="00E03C6A">
        <w:rPr>
          <w:lang w:val="ka-GE"/>
        </w:rPr>
        <w:t>ზემოაღნიშნული აქტივობების გათვალისწინებით, პროგრამის ბიუჯეტი 100%-იანი მოცვის შემთხვევაში განისაზღვრა 973 941 ლარით, ხოლო 50%-იანი მოცვის შემთხვევაში 495 470.5 ლარით (იხ. დანართი ექსელის ფაილი)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640"/>
        <w:gridCol w:w="2734"/>
        <w:gridCol w:w="2552"/>
      </w:tblGrid>
      <w:tr w:rsidR="00C55E51" w:rsidRPr="00C55E51" w:rsidTr="00C55E51">
        <w:trPr>
          <w:trHeight w:val="76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აქტივობა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 100%-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იანი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მოცვით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 50%-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იანი</w:t>
            </w:r>
            <w:proofErr w:type="spellEnd"/>
            <w:r w:rsidRPr="00C55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  <w:sz w:val="20"/>
                <w:szCs w:val="20"/>
              </w:rPr>
              <w:t>მოცვით</w:t>
            </w:r>
            <w:proofErr w:type="spellEnd"/>
          </w:p>
        </w:tc>
      </w:tr>
      <w:tr w:rsidR="00C55E51" w:rsidRPr="00C55E51" w:rsidTr="00C55E5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ტყვიის</w:t>
            </w:r>
            <w:proofErr w:type="spellEnd"/>
            <w:r w:rsidRPr="00C55E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შემცველობაზე</w:t>
            </w:r>
            <w:proofErr w:type="spellEnd"/>
            <w:r w:rsidRPr="00C55E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დიაგნოსტიკა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347,217.00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 173,608.50 </w:t>
            </w:r>
          </w:p>
        </w:tc>
      </w:tr>
      <w:tr w:rsidR="00C55E51" w:rsidRPr="00C55E51" w:rsidTr="00C55E5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დამატებითი</w:t>
            </w:r>
            <w:proofErr w:type="spellEnd"/>
            <w:r w:rsidRPr="00C55E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დიაგნოსტიკა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186,368.00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   93,184.00 </w:t>
            </w:r>
          </w:p>
        </w:tc>
      </w:tr>
      <w:tr w:rsidR="00C55E51" w:rsidRPr="00C55E51" w:rsidTr="00C55E5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მედიკამენტებით</w:t>
            </w:r>
            <w:proofErr w:type="spellEnd"/>
            <w:r w:rsidRPr="00C55E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423,356.00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 211,678.00 </w:t>
            </w:r>
          </w:p>
        </w:tc>
      </w:tr>
      <w:tr w:rsidR="00C55E51" w:rsidRPr="00C55E51" w:rsidTr="00C55E5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სპეციალისტების</w:t>
            </w:r>
            <w:proofErr w:type="spellEnd"/>
            <w:r w:rsidRPr="00C55E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E51">
              <w:rPr>
                <w:rFonts w:eastAsia="Times New Roman" w:cs="Sylfaen"/>
                <w:color w:val="000000"/>
                <w:sz w:val="20"/>
                <w:szCs w:val="20"/>
              </w:rPr>
              <w:t>გადამზადება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  17,000.00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5E51">
              <w:rPr>
                <w:rFonts w:ascii="Calibri" w:eastAsia="Times New Roman" w:hAnsi="Calibri" w:cs="Calibri"/>
                <w:color w:val="000000"/>
              </w:rPr>
              <w:t xml:space="preserve">               17,000.00 </w:t>
            </w:r>
          </w:p>
        </w:tc>
      </w:tr>
      <w:tr w:rsidR="00C55E51" w:rsidRPr="00C55E51" w:rsidTr="00C55E5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55E51">
              <w:rPr>
                <w:rFonts w:eastAsia="Times New Roma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5E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973,941.00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E51" w:rsidRPr="00C55E51" w:rsidRDefault="00C55E51" w:rsidP="00C55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5E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495,470.50 </w:t>
            </w:r>
          </w:p>
        </w:tc>
      </w:tr>
    </w:tbl>
    <w:p w:rsidR="00C55E51" w:rsidRDefault="00C55E51" w:rsidP="00C55E51">
      <w:pPr>
        <w:jc w:val="both"/>
        <w:rPr>
          <w:b/>
          <w:lang w:val="ka-GE"/>
        </w:rPr>
      </w:pPr>
    </w:p>
    <w:p w:rsidR="00C55E51" w:rsidRPr="00E03C6A" w:rsidRDefault="00C55E51" w:rsidP="00C55E51">
      <w:pPr>
        <w:jc w:val="both"/>
        <w:rPr>
          <w:lang w:val="ka-GE"/>
        </w:rPr>
      </w:pPr>
      <w:r w:rsidRPr="00E03C6A">
        <w:rPr>
          <w:lang w:val="ka-GE"/>
        </w:rPr>
        <w:t xml:space="preserve">ამასთან, პირველ ეტაპზე, პროგრამის პილოტურობის გათვალისწინებით, მიზანშეწონილად მიგვაჩნია </w:t>
      </w:r>
      <w:r w:rsidR="00E03C6A" w:rsidRPr="00E03C6A">
        <w:rPr>
          <w:lang w:val="ka-GE"/>
        </w:rPr>
        <w:t xml:space="preserve">გათვლა გაკეთდეს ბენეფიციართა 50%-იან მოცვაზე. შესაბამისად, პროგრამის ბიუჯეტი განისაზღვრა </w:t>
      </w:r>
      <w:r w:rsidR="00E03C6A" w:rsidRPr="00E03C6A">
        <w:rPr>
          <w:b/>
          <w:lang w:val="ka-GE"/>
        </w:rPr>
        <w:t>500 000 ლარით.</w:t>
      </w:r>
      <w:r w:rsidR="00E03C6A" w:rsidRPr="00E03C6A">
        <w:rPr>
          <w:lang w:val="ka-GE"/>
        </w:rPr>
        <w:t xml:space="preserve"> აღნიშნული საბიუჯეტო რესურსის მოძიება შესაძლებელია დაავადებათა ადრეული გამოვლენისა და სკრინინგის, იმუნიზაციისა და დედათ</w:t>
      </w:r>
      <w:r w:rsidR="00E03C6A">
        <w:rPr>
          <w:lang w:val="ka-GE"/>
        </w:rPr>
        <w:t>ა</w:t>
      </w:r>
      <w:r w:rsidR="00E03C6A" w:rsidRPr="00E03C6A">
        <w:rPr>
          <w:lang w:val="ka-GE"/>
        </w:rPr>
        <w:t xml:space="preserve"> და ბავშვთა ჯანმრთელობის სახელმწიფო პროგრამების ფარგლებში.</w:t>
      </w:r>
    </w:p>
    <w:p w:rsidR="00E03C6A" w:rsidRDefault="00E03C6A" w:rsidP="00C55E51">
      <w:pPr>
        <w:jc w:val="both"/>
        <w:rPr>
          <w:b/>
          <w:lang w:val="ka-GE"/>
        </w:rPr>
      </w:pPr>
    </w:p>
    <w:p w:rsidR="00C55E51" w:rsidRPr="00C55E51" w:rsidRDefault="00C55E51" w:rsidP="00C55E51">
      <w:pPr>
        <w:jc w:val="both"/>
        <w:rPr>
          <w:b/>
          <w:lang w:val="ka-GE"/>
        </w:rPr>
      </w:pPr>
      <w:bookmarkStart w:id="0" w:name="_GoBack"/>
      <w:bookmarkEnd w:id="0"/>
    </w:p>
    <w:sectPr w:rsidR="00C55E51" w:rsidRPr="00C55E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0842"/>
    <w:multiLevelType w:val="hybridMultilevel"/>
    <w:tmpl w:val="13C49B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803D0"/>
    <w:multiLevelType w:val="hybridMultilevel"/>
    <w:tmpl w:val="BDBC8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163633"/>
    <w:multiLevelType w:val="hybridMultilevel"/>
    <w:tmpl w:val="7930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0957"/>
    <w:multiLevelType w:val="hybridMultilevel"/>
    <w:tmpl w:val="BF7C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60"/>
    <w:rsid w:val="00546545"/>
    <w:rsid w:val="00554D4B"/>
    <w:rsid w:val="00701D60"/>
    <w:rsid w:val="008E725D"/>
    <w:rsid w:val="00A16069"/>
    <w:rsid w:val="00C55E51"/>
    <w:rsid w:val="00C5662E"/>
    <w:rsid w:val="00E03C6A"/>
    <w:rsid w:val="00F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B449"/>
  <w15:chartTrackingRefBased/>
  <w15:docId w15:val="{94361CE7-2326-4CAE-9185-F8AD47A9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2019-03-28T13:15:00Z</dcterms:created>
  <dcterms:modified xsi:type="dcterms:W3CDTF">2019-03-28T16:10:00Z</dcterms:modified>
</cp:coreProperties>
</file>